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5273A">
        <w:rPr>
          <w:sz w:val="24"/>
          <w:szCs w:val="24"/>
        </w:rPr>
        <w:t>1</w:t>
      </w:r>
      <w:r w:rsidR="007300D9">
        <w:rPr>
          <w:sz w:val="24"/>
          <w:szCs w:val="24"/>
        </w:rPr>
        <w:t>5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7300D9">
        <w:rPr>
          <w:sz w:val="24"/>
          <w:szCs w:val="24"/>
        </w:rPr>
        <w:t>11</w:t>
      </w:r>
      <w:r w:rsidR="009A77E9">
        <w:rPr>
          <w:sz w:val="24"/>
          <w:szCs w:val="24"/>
        </w:rPr>
        <w:t xml:space="preserve"> de </w:t>
      </w:r>
      <w:r w:rsidR="00A02B0A">
        <w:rPr>
          <w:sz w:val="24"/>
          <w:szCs w:val="24"/>
        </w:rPr>
        <w:t>febrero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C05BB3" w:rsidP="00C05BB3">
      <w:pPr>
        <w:ind w:left="2124" w:firstLine="708"/>
        <w:rPr>
          <w:b/>
        </w:rPr>
      </w:pPr>
      <w:r>
        <w:rPr>
          <w:b/>
        </w:rPr>
        <w:t>Copa – semifinales (</w:t>
      </w:r>
      <w:r w:rsidR="00D274F2">
        <w:rPr>
          <w:b/>
        </w:rPr>
        <w:t>vuelta</w:t>
      </w:r>
      <w:r>
        <w:rPr>
          <w:b/>
        </w:rPr>
        <w:t xml:space="preserve">) 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111"/>
        <w:gridCol w:w="567"/>
        <w:gridCol w:w="2050"/>
        <w:gridCol w:w="643"/>
      </w:tblGrid>
      <w:tr w:rsidR="007C4911" w:rsidRPr="0047077E" w:rsidTr="007C4911">
        <w:trPr>
          <w:trHeight w:val="187"/>
        </w:trPr>
        <w:tc>
          <w:tcPr>
            <w:tcW w:w="1149" w:type="dxa"/>
          </w:tcPr>
          <w:p w:rsidR="007C4911" w:rsidRPr="0047077E" w:rsidRDefault="007C4911" w:rsidP="00A02B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5371" w:type="dxa"/>
            <w:gridSpan w:val="4"/>
          </w:tcPr>
          <w:p w:rsidR="007C4911" w:rsidRPr="0047077E" w:rsidRDefault="007C4911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7C4911">
        <w:trPr>
          <w:trHeight w:val="187"/>
        </w:trPr>
        <w:tc>
          <w:tcPr>
            <w:tcW w:w="1149" w:type="dxa"/>
            <w:vMerge w:val="restart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9º - 12º</w:t>
            </w:r>
          </w:p>
        </w:tc>
        <w:tc>
          <w:tcPr>
            <w:tcW w:w="2111" w:type="dxa"/>
          </w:tcPr>
          <w:p w:rsidR="00A433EB" w:rsidRPr="0047077E" w:rsidRDefault="00A433EB" w:rsidP="00431071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567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8</w:t>
            </w:r>
          </w:p>
        </w:tc>
        <w:tc>
          <w:tcPr>
            <w:tcW w:w="2050" w:type="dxa"/>
          </w:tcPr>
          <w:p w:rsidR="00A433EB" w:rsidRPr="0047077E" w:rsidRDefault="00A433EB" w:rsidP="0043107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643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A433EB" w:rsidRPr="0047077E" w:rsidTr="007C4911">
        <w:trPr>
          <w:trHeight w:val="199"/>
        </w:trPr>
        <w:tc>
          <w:tcPr>
            <w:tcW w:w="1149" w:type="dxa"/>
            <w:vMerge/>
          </w:tcPr>
          <w:p w:rsidR="00A433EB" w:rsidRDefault="00A433EB" w:rsidP="00A02B0A">
            <w:pPr>
              <w:pStyle w:val="NormalWeb"/>
              <w:jc w:val="both"/>
              <w:textAlignment w:val="top"/>
            </w:pPr>
          </w:p>
        </w:tc>
        <w:tc>
          <w:tcPr>
            <w:tcW w:w="2111" w:type="dxa"/>
          </w:tcPr>
          <w:p w:rsidR="00A433EB" w:rsidRPr="0047077E" w:rsidRDefault="00A433EB" w:rsidP="0043107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567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050" w:type="dxa"/>
          </w:tcPr>
          <w:p w:rsidR="00A433EB" w:rsidRPr="0047077E" w:rsidRDefault="00A433EB" w:rsidP="00431071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643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A433EB" w:rsidRPr="0047077E" w:rsidTr="007C4911">
        <w:trPr>
          <w:trHeight w:val="199"/>
        </w:trPr>
        <w:tc>
          <w:tcPr>
            <w:tcW w:w="1149" w:type="dxa"/>
            <w:vMerge w:val="restart"/>
          </w:tcPr>
          <w:p w:rsidR="00A433EB" w:rsidRDefault="00A433EB" w:rsidP="00A02B0A">
            <w:pPr>
              <w:pStyle w:val="NormalWeb"/>
              <w:jc w:val="both"/>
              <w:textAlignment w:val="top"/>
            </w:pPr>
            <w:r>
              <w:t>5º - 8º</w:t>
            </w:r>
          </w:p>
        </w:tc>
        <w:tc>
          <w:tcPr>
            <w:tcW w:w="2111" w:type="dxa"/>
          </w:tcPr>
          <w:p w:rsidR="00A433EB" w:rsidRPr="0047077E" w:rsidRDefault="00A433EB" w:rsidP="0043107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567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050" w:type="dxa"/>
          </w:tcPr>
          <w:p w:rsidR="00A433EB" w:rsidRPr="0047077E" w:rsidRDefault="00A433EB" w:rsidP="0043107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643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A433EB" w:rsidRPr="0047077E" w:rsidTr="007C4911">
        <w:trPr>
          <w:trHeight w:val="199"/>
        </w:trPr>
        <w:tc>
          <w:tcPr>
            <w:tcW w:w="1149" w:type="dxa"/>
            <w:vMerge/>
          </w:tcPr>
          <w:p w:rsidR="00A433EB" w:rsidRDefault="00A433EB" w:rsidP="00A02B0A">
            <w:pPr>
              <w:pStyle w:val="NormalWeb"/>
              <w:jc w:val="both"/>
              <w:textAlignment w:val="top"/>
            </w:pPr>
          </w:p>
        </w:tc>
        <w:tc>
          <w:tcPr>
            <w:tcW w:w="2111" w:type="dxa"/>
          </w:tcPr>
          <w:p w:rsidR="00A433EB" w:rsidRPr="0047077E" w:rsidRDefault="00A433EB" w:rsidP="0043107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567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050" w:type="dxa"/>
          </w:tcPr>
          <w:p w:rsidR="00A433EB" w:rsidRPr="0047077E" w:rsidRDefault="00A433EB" w:rsidP="0043107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643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A433EB" w:rsidRPr="0047077E" w:rsidTr="007C4911">
        <w:trPr>
          <w:trHeight w:val="248"/>
        </w:trPr>
        <w:tc>
          <w:tcPr>
            <w:tcW w:w="1149" w:type="dxa"/>
            <w:vMerge w:val="restart"/>
          </w:tcPr>
          <w:p w:rsidR="00A433EB" w:rsidRDefault="00A433EB" w:rsidP="00A02B0A">
            <w:pPr>
              <w:pStyle w:val="NormalWeb"/>
              <w:textAlignment w:val="top"/>
            </w:pPr>
            <w:r>
              <w:t>1º - 4º</w:t>
            </w:r>
          </w:p>
        </w:tc>
        <w:tc>
          <w:tcPr>
            <w:tcW w:w="2111" w:type="dxa"/>
          </w:tcPr>
          <w:p w:rsidR="00A433EB" w:rsidRPr="0047077E" w:rsidRDefault="00A433EB" w:rsidP="0043107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567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050" w:type="dxa"/>
          </w:tcPr>
          <w:p w:rsidR="00A433EB" w:rsidRPr="0047077E" w:rsidRDefault="00A433EB" w:rsidP="0043107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643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A433EB" w:rsidRPr="0047077E" w:rsidTr="007C4911">
        <w:trPr>
          <w:trHeight w:val="248"/>
        </w:trPr>
        <w:tc>
          <w:tcPr>
            <w:tcW w:w="1149" w:type="dxa"/>
            <w:vMerge/>
          </w:tcPr>
          <w:p w:rsidR="00A433EB" w:rsidRDefault="00A433EB" w:rsidP="00A02B0A">
            <w:pPr>
              <w:pStyle w:val="NormalWeb"/>
              <w:textAlignment w:val="top"/>
            </w:pPr>
          </w:p>
        </w:tc>
        <w:tc>
          <w:tcPr>
            <w:tcW w:w="2111" w:type="dxa"/>
          </w:tcPr>
          <w:p w:rsidR="00A433EB" w:rsidRDefault="00A433EB" w:rsidP="00431071">
            <w:pPr>
              <w:pStyle w:val="NormalWeb"/>
              <w:jc w:val="both"/>
              <w:textAlignment w:val="top"/>
            </w:pPr>
            <w:r>
              <w:t xml:space="preserve">Zabala </w:t>
            </w:r>
          </w:p>
        </w:tc>
        <w:tc>
          <w:tcPr>
            <w:tcW w:w="567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050" w:type="dxa"/>
          </w:tcPr>
          <w:p w:rsidR="00A433EB" w:rsidRDefault="00A433EB" w:rsidP="00431071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643" w:type="dxa"/>
          </w:tcPr>
          <w:p w:rsidR="00A433EB" w:rsidRDefault="00A433EB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</w:tbl>
    <w:p w:rsidR="00C05BB3" w:rsidRDefault="00C05BB3" w:rsidP="00C05BB3">
      <w:pPr>
        <w:ind w:left="360"/>
      </w:pPr>
      <w:r>
        <w:t xml:space="preserve">        </w:t>
      </w:r>
    </w:p>
    <w:p w:rsidR="00A433EB" w:rsidRDefault="00A433EB" w:rsidP="00C05BB3">
      <w:pPr>
        <w:ind w:left="360"/>
      </w:pPr>
      <w:r>
        <w:tab/>
        <w:t>La final de la Copa se jugará en la última jornada de la temporada:</w:t>
      </w:r>
    </w:p>
    <w:p w:rsidR="00A433EB" w:rsidRDefault="00A433EB" w:rsidP="00C05BB3">
      <w:pPr>
        <w:ind w:left="360"/>
      </w:pPr>
    </w:p>
    <w:p w:rsidR="00A433EB" w:rsidRDefault="00A433EB" w:rsidP="00C05BB3">
      <w:pPr>
        <w:ind w:left="360"/>
      </w:pPr>
      <w:r>
        <w:tab/>
      </w:r>
      <w:r>
        <w:tab/>
        <w:t>- puestos 3º - 4º ......... La Sede  - 8 40</w:t>
      </w:r>
    </w:p>
    <w:p w:rsidR="00A433EB" w:rsidRPr="00656E9D" w:rsidRDefault="00A433EB" w:rsidP="00C05BB3">
      <w:pPr>
        <w:ind w:left="360"/>
      </w:pPr>
      <w:r>
        <w:tab/>
      </w:r>
      <w:r>
        <w:tab/>
        <w:t>- puestos 1º - 2º ......... Zabala    - Cafeteros</w:t>
      </w:r>
    </w:p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3C77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215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E4DE1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2156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A02B0A">
        <w:rPr>
          <w:b/>
          <w:u w:val="single"/>
        </w:rPr>
        <w:t>1</w:t>
      </w:r>
      <w:r w:rsidR="00A433EB">
        <w:rPr>
          <w:b/>
          <w:u w:val="single"/>
        </w:rPr>
        <w:t>8</w:t>
      </w:r>
      <w:r>
        <w:rPr>
          <w:b/>
          <w:u w:val="single"/>
        </w:rPr>
        <w:t xml:space="preserve"> </w:t>
      </w:r>
      <w:r w:rsidR="007C3AF1">
        <w:rPr>
          <w:b/>
          <w:u w:val="single"/>
        </w:rPr>
        <w:t>febrero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>Torneo Clausura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027" w:type="dxa"/>
          </w:tcPr>
          <w:p w:rsidR="00A433EB" w:rsidRPr="0047077E" w:rsidRDefault="00A433EB" w:rsidP="00BE50F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96B27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027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250" w:type="dxa"/>
          </w:tcPr>
          <w:p w:rsidR="00A433EB" w:rsidRPr="0047077E" w:rsidRDefault="00A433EB" w:rsidP="007C3AF1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F7679C" w:rsidP="00A02B0A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A433EB" w:rsidRPr="0047077E" w:rsidRDefault="00F7679C" w:rsidP="007C3AF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433EB" w:rsidP="007C3AF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Sede</w:t>
            </w:r>
          </w:p>
        </w:tc>
        <w:tc>
          <w:tcPr>
            <w:tcW w:w="2250" w:type="dxa"/>
          </w:tcPr>
          <w:p w:rsidR="00A433EB" w:rsidRPr="0047077E" w:rsidRDefault="00A433EB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A433EB" w:rsidP="007C3AF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A433EB" w:rsidRPr="0047077E" w:rsidRDefault="00A433EB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F7679C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433EB" w:rsidP="002634ED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F7679C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A433EB" w:rsidRDefault="00F7679C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7679C">
        <w:t>8</w:t>
      </w:r>
      <w:r w:rsidR="00043F52">
        <w:t xml:space="preserve">, </w:t>
      </w:r>
      <w:r w:rsidR="00F7679C">
        <w:t>9</w:t>
      </w:r>
      <w:r w:rsidR="00043F52">
        <w:t xml:space="preserve">, </w:t>
      </w:r>
      <w:r w:rsidR="007C4911">
        <w:t>2</w:t>
      </w:r>
      <w:r w:rsidR="00F7679C">
        <w:t>7</w:t>
      </w:r>
      <w:r w:rsidR="00361D5C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9259A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7679C">
        <w:t>15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043F52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7679C">
        <w:t>4, 13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7679C">
        <w:t>12</w:t>
      </w:r>
      <w:r>
        <w:t>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F7679C">
        <w:t>6, 14</w:t>
      </w:r>
      <w:r w:rsidR="00043F52">
        <w:t>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P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7C2879" w:rsidRDefault="0026205F" w:rsidP="007C2879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7679C">
        <w:t>3, 6, 8, 15, 16, 26.</w:t>
      </w:r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E37CAD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7679C">
        <w:t>1, 17</w:t>
      </w:r>
      <w:r w:rsidR="00E37CAD">
        <w:t>.</w:t>
      </w:r>
    </w:p>
    <w:p w:rsidR="006461A9" w:rsidRDefault="00F41B9A" w:rsidP="007F0195">
      <w:pPr>
        <w:rPr>
          <w:b/>
          <w:u w:val="single"/>
        </w:rPr>
      </w:pPr>
      <w:r>
        <w:rPr>
          <w:b/>
        </w:rPr>
        <w:lastRenderedPageBreak/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5869EF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Luis Corral (Delegado)</w:t>
            </w:r>
          </w:p>
        </w:tc>
        <w:tc>
          <w:tcPr>
            <w:tcW w:w="1134" w:type="dxa"/>
          </w:tcPr>
          <w:p w:rsidR="005869EF" w:rsidRDefault="005869EF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4253" w:type="dxa"/>
          </w:tcPr>
          <w:p w:rsidR="005869EF" w:rsidRDefault="005869EF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suspende por 5 encuentros en su responsabilidad de Delegado por sus manifestaciones en el Grupo 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 xml:space="preserve"> de Responsables así como sus acciones posteriores.</w:t>
            </w:r>
          </w:p>
          <w:p w:rsidR="005869EF" w:rsidRDefault="00E15158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861E61" w:rsidRPr="003500F1" w:rsidTr="002634ED">
        <w:tc>
          <w:tcPr>
            <w:tcW w:w="1531" w:type="dxa"/>
          </w:tcPr>
          <w:p w:rsidR="00861E61" w:rsidRDefault="00861E61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Damián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861E61" w:rsidRDefault="00861E61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1276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10 partidos de suspensión en su responsabilidad  como delegado y 48 euros de multa por su actuación tras el partido </w:t>
            </w:r>
            <w:proofErr w:type="spellStart"/>
            <w:r>
              <w:rPr>
                <w:sz w:val="20"/>
                <w:szCs w:val="20"/>
              </w:rPr>
              <w:t>Yepronor-Unirea</w:t>
            </w:r>
            <w:proofErr w:type="spellEnd"/>
            <w:r>
              <w:rPr>
                <w:sz w:val="20"/>
                <w:szCs w:val="20"/>
              </w:rPr>
              <w:t xml:space="preserve"> del 26-11-2023.</w:t>
            </w:r>
          </w:p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26-11-2023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Adrian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Ionut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Grigore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433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como delegado por 6 partidos y multa de 24 euros por no evitar / reducir la incidencia habida,</w:t>
            </w:r>
            <w:r>
              <w:rPr>
                <w:sz w:val="20"/>
                <w:szCs w:val="20"/>
              </w:rPr>
              <w:br/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Maymoune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El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Bourkhissi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por 6 partidos y multa de 48 euros por lanzar un puñetazo.</w:t>
            </w:r>
          </w:p>
          <w:p w:rsidR="00043F52" w:rsidRDefault="00043F52" w:rsidP="00433FF8">
            <w:pPr>
              <w:rPr>
                <w:sz w:val="20"/>
                <w:szCs w:val="20"/>
              </w:rPr>
            </w:pP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Endika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Enes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14)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4-2-2024</w:t>
            </w:r>
          </w:p>
        </w:tc>
        <w:tc>
          <w:tcPr>
            <w:tcW w:w="4253" w:type="dxa"/>
          </w:tcPr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insultos.</w:t>
            </w:r>
          </w:p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Rubén Darío Herrera Ramírez (delegado)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y 24 euros de multa como delegado por protestas al árbitro.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4-2-2024 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Santiago Ortega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7C2879" w:rsidRDefault="007C287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menospreciar a un contrario.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</w:tbl>
    <w:p w:rsidR="000E3C3F" w:rsidRDefault="000E3C3F" w:rsidP="00C82B4B">
      <w:pPr>
        <w:rPr>
          <w:b/>
        </w:rPr>
      </w:pPr>
    </w:p>
    <w:p w:rsidR="00AE3FD2" w:rsidRDefault="00AE3FD2" w:rsidP="00AE3FD2">
      <w:pPr>
        <w:ind w:left="284" w:hanging="284"/>
        <w:rPr>
          <w:b/>
        </w:rPr>
      </w:pPr>
      <w:r>
        <w:rPr>
          <w:b/>
        </w:rPr>
        <w:t xml:space="preserve">      Las sanciones aplicadas a los jugadores de Cafeteros y 8 40 por la incidencia del pasado 4 de febrero, son cautelares ya que continúa analizándose lo ocurrido para establecer las sanciones definitivas.</w:t>
      </w:r>
    </w:p>
    <w:p w:rsidR="00AE3FD2" w:rsidRDefault="00AE3FD2" w:rsidP="00C82B4B">
      <w:pPr>
        <w:rPr>
          <w:b/>
        </w:rPr>
      </w:pPr>
    </w:p>
    <w:p w:rsidR="00AE3FD2" w:rsidRDefault="00AE3FD2" w:rsidP="00C82B4B">
      <w:pPr>
        <w:rPr>
          <w:b/>
        </w:rPr>
      </w:pPr>
      <w:r>
        <w:rPr>
          <w:b/>
        </w:rPr>
        <w:t xml:space="preserve">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lastRenderedPageBreak/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lastRenderedPageBreak/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D747D0" w:rsidRDefault="00866429" w:rsidP="00D747D0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 xml:space="preserve">Pagos </w:t>
      </w:r>
      <w:r w:rsidR="008A3714">
        <w:rPr>
          <w:b/>
          <w:u w:val="single"/>
        </w:rPr>
        <w:t xml:space="preserve">de cuotas </w:t>
      </w:r>
      <w:r w:rsidR="00AB6679" w:rsidRPr="002160C9">
        <w:rPr>
          <w:b/>
          <w:u w:val="single"/>
        </w:rPr>
        <w:t>pendientes a esta fecha.</w:t>
      </w:r>
    </w:p>
    <w:p w:rsidR="00143687" w:rsidRDefault="00143687" w:rsidP="00143687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</w:t>
      </w:r>
      <w:r w:rsidR="00536D4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cuota</w:t>
      </w:r>
      <w:r w:rsidR="00536D4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y las multas del 4º trimestre 2023: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143687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536D40">
            <w:pPr>
              <w:spacing w:before="100" w:after="100"/>
              <w:jc w:val="center"/>
            </w:pPr>
            <w:r>
              <w:t>4</w:t>
            </w:r>
            <w:r w:rsidR="006972A1">
              <w:t>7</w:t>
            </w:r>
            <w:r w:rsidR="00536D40">
              <w:t>3,21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536D40">
            <w:pPr>
              <w:spacing w:before="100" w:after="100"/>
              <w:jc w:val="center"/>
            </w:pPr>
            <w:r>
              <w:t>3</w:t>
            </w:r>
            <w:r w:rsidR="00536D40">
              <w:t>12,29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36D40" w:rsidP="00536D40">
            <w:pPr>
              <w:spacing w:before="100" w:after="100"/>
              <w:jc w:val="center"/>
            </w:pPr>
            <w:r>
              <w:t>377,74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536D40">
            <w:pPr>
              <w:spacing w:before="100" w:after="100"/>
              <w:jc w:val="center"/>
            </w:pPr>
            <w:r>
              <w:t>1</w:t>
            </w:r>
            <w:r w:rsidR="00536D40">
              <w:t>09,70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36D40" w:rsidP="00536D40">
            <w:pPr>
              <w:spacing w:before="100" w:after="100"/>
              <w:jc w:val="both"/>
            </w:pPr>
            <w:r>
              <w:t>San Agustín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36D40" w:rsidP="006972A1">
            <w:pPr>
              <w:spacing w:before="100" w:after="100"/>
              <w:jc w:val="center"/>
            </w:pPr>
            <w:r>
              <w:t>41,66 €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36D40" w:rsidP="00536D40">
            <w:pPr>
              <w:spacing w:before="100" w:after="100"/>
              <w:jc w:val="center"/>
            </w:pPr>
            <w:r>
              <w:t>109,77</w:t>
            </w:r>
            <w:r w:rsidR="00550954">
              <w:t xml:space="preserve"> €</w:t>
            </w:r>
          </w:p>
        </w:tc>
      </w:tr>
      <w:tr w:rsidR="00536D4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D40" w:rsidRDefault="00536D40" w:rsidP="006972A1">
            <w:pPr>
              <w:spacing w:before="100" w:after="100"/>
              <w:jc w:val="both"/>
            </w:pPr>
            <w:r>
              <w:t>La Perla del Oeste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D40" w:rsidRDefault="00536D40" w:rsidP="00536D40">
            <w:pPr>
              <w:spacing w:before="100" w:after="100"/>
              <w:jc w:val="center"/>
            </w:pPr>
            <w:r>
              <w:t>48,13 €</w:t>
            </w:r>
          </w:p>
        </w:tc>
      </w:tr>
      <w:tr w:rsidR="00536D4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D40" w:rsidRDefault="00536D40" w:rsidP="006972A1">
            <w:pPr>
              <w:spacing w:before="100" w:after="100"/>
              <w:jc w:val="both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D40" w:rsidRDefault="00536D40" w:rsidP="00536D40">
            <w:pPr>
              <w:spacing w:before="100" w:after="100"/>
              <w:jc w:val="center"/>
            </w:pPr>
            <w:r>
              <w:t>56.98 €</w:t>
            </w:r>
          </w:p>
        </w:tc>
      </w:tr>
    </w:tbl>
    <w:p w:rsidR="00143687" w:rsidRPr="000765EB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43687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2023</w:t>
      </w:r>
      <w:r w:rsidRPr="002160C9">
        <w:rPr>
          <w:b/>
          <w:u w:val="single"/>
        </w:rPr>
        <w:t>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23-1-2024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8A3714" w:rsidTr="00B27415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8A3714" w:rsidTr="00B27415">
        <w:tc>
          <w:tcPr>
            <w:tcW w:w="212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8A3714" w:rsidTr="00B27415">
        <w:tc>
          <w:tcPr>
            <w:tcW w:w="2126" w:type="dxa"/>
          </w:tcPr>
          <w:p w:rsidR="008A3714" w:rsidRDefault="008A3714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72,00 €</w:t>
            </w:r>
          </w:p>
        </w:tc>
        <w:tc>
          <w:tcPr>
            <w:tcW w:w="1786" w:type="dxa"/>
          </w:tcPr>
          <w:p w:rsidR="008A3714" w:rsidRPr="00B27415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96,00 €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15,75 €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15,75 €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42,00 €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37,50 €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</w:tbl>
    <w:p w:rsidR="008A3714" w:rsidRPr="00D747D0" w:rsidRDefault="00B27415" w:rsidP="00B2741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73" w:rsidRDefault="00636573">
      <w:r>
        <w:separator/>
      </w:r>
    </w:p>
  </w:endnote>
  <w:endnote w:type="continuationSeparator" w:id="0">
    <w:p w:rsidR="00636573" w:rsidRDefault="0063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11" w:rsidRDefault="007C4911">
    <w:pPr>
      <w:pStyle w:val="Piedepgina"/>
      <w:pBdr>
        <w:bottom w:val="single" w:sz="12" w:space="1" w:color="auto"/>
      </w:pBdr>
    </w:pPr>
  </w:p>
  <w:p w:rsidR="007C4911" w:rsidRPr="00B62BB2" w:rsidRDefault="007C4911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</w:t>
    </w:r>
    <w:r w:rsidR="00A433EB">
      <w:rPr>
        <w:sz w:val="18"/>
        <w:szCs w:val="18"/>
      </w:rPr>
      <w:t>5</w:t>
    </w:r>
    <w:r w:rsidRPr="00B62BB2">
      <w:rPr>
        <w:sz w:val="18"/>
        <w:szCs w:val="18"/>
      </w:rPr>
      <w:t xml:space="preserve"> del </w:t>
    </w:r>
    <w:r w:rsidR="00A433EB">
      <w:rPr>
        <w:sz w:val="18"/>
        <w:szCs w:val="18"/>
      </w:rPr>
      <w:t>11</w:t>
    </w:r>
    <w:r w:rsidRPr="00B62BB2">
      <w:rPr>
        <w:sz w:val="18"/>
        <w:szCs w:val="18"/>
      </w:rPr>
      <w:t>-</w:t>
    </w:r>
    <w:r>
      <w:rPr>
        <w:sz w:val="18"/>
        <w:szCs w:val="18"/>
      </w:rPr>
      <w:t>2-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Copa Semifinales</w:t>
    </w:r>
    <w:r w:rsidR="00A433EB">
      <w:rPr>
        <w:sz w:val="18"/>
        <w:szCs w:val="18"/>
      </w:rPr>
      <w:t xml:space="preserve"> vuelta</w:t>
    </w:r>
    <w:r>
      <w:rPr>
        <w:sz w:val="18"/>
        <w:szCs w:val="18"/>
      </w:rPr>
      <w:t xml:space="preserve"> 2023/2024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</w:t>
    </w:r>
    <w:r w:rsidRPr="00B62BB2">
      <w:rPr>
        <w:sz w:val="18"/>
        <w:szCs w:val="18"/>
      </w:rPr>
      <w:t xml:space="preserve">                      pág.</w:t>
    </w:r>
    <w:r w:rsidR="00CE2449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CE2449" w:rsidRPr="00B62BB2">
      <w:rPr>
        <w:rStyle w:val="Nmerodepgina"/>
        <w:sz w:val="18"/>
        <w:szCs w:val="18"/>
      </w:rPr>
      <w:fldChar w:fldCharType="separate"/>
    </w:r>
    <w:r w:rsidR="00D274F2">
      <w:rPr>
        <w:rStyle w:val="Nmerodepgina"/>
        <w:noProof/>
        <w:sz w:val="18"/>
        <w:szCs w:val="18"/>
      </w:rPr>
      <w:t>1</w:t>
    </w:r>
    <w:r w:rsidR="00CE2449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CE2449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CE2449" w:rsidRPr="00B62BB2">
      <w:rPr>
        <w:rStyle w:val="Nmerodepgina"/>
        <w:sz w:val="18"/>
        <w:szCs w:val="18"/>
      </w:rPr>
      <w:fldChar w:fldCharType="separate"/>
    </w:r>
    <w:r w:rsidR="00D274F2">
      <w:rPr>
        <w:rStyle w:val="Nmerodepgina"/>
        <w:noProof/>
        <w:sz w:val="18"/>
        <w:szCs w:val="18"/>
      </w:rPr>
      <w:t>7</w:t>
    </w:r>
    <w:r w:rsidR="00CE2449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73" w:rsidRDefault="00636573">
      <w:r>
        <w:separator/>
      </w:r>
    </w:p>
  </w:footnote>
  <w:footnote w:type="continuationSeparator" w:id="0">
    <w:p w:rsidR="00636573" w:rsidRDefault="00636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22D0D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6521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04EE"/>
    <w:rsid w:val="003343B6"/>
    <w:rsid w:val="0033496A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841"/>
    <w:rsid w:val="00383DEA"/>
    <w:rsid w:val="0038422F"/>
    <w:rsid w:val="00385519"/>
    <w:rsid w:val="0038657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64CB"/>
    <w:rsid w:val="004400E1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F0E"/>
    <w:rsid w:val="004F383E"/>
    <w:rsid w:val="004F3B8E"/>
    <w:rsid w:val="004F662B"/>
    <w:rsid w:val="005027F6"/>
    <w:rsid w:val="0050300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9EF"/>
    <w:rsid w:val="00587051"/>
    <w:rsid w:val="0058755A"/>
    <w:rsid w:val="005879C4"/>
    <w:rsid w:val="00587E05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6573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972A1"/>
    <w:rsid w:val="006A0DA6"/>
    <w:rsid w:val="006A1A2D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3EB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6B27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0FB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449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70E6"/>
    <w:rsid w:val="00D274F2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5B0D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79C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17A14-94E3-4798-920C-8EA62D5B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2</cp:revision>
  <cp:lastPrinted>2024-01-16T11:09:00Z</cp:lastPrinted>
  <dcterms:created xsi:type="dcterms:W3CDTF">2024-02-18T15:21:00Z</dcterms:created>
  <dcterms:modified xsi:type="dcterms:W3CDTF">2024-02-18T15:21:00Z</dcterms:modified>
</cp:coreProperties>
</file>